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93</w:t>
      </w:r>
      <w:r w:rsidR="0047745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7441AA">
        <w:rPr>
          <w:bCs/>
          <w:noProof w:val="0"/>
          <w:sz w:val="24"/>
          <w:szCs w:val="24"/>
        </w:rPr>
        <w:t>2365</w:t>
      </w:r>
    </w:p>
    <w:p w:rsidR="00CD4C7B" w:rsidRPr="00B266B0" w:rsidRDefault="00477455" w:rsidP="00CD4C7B">
      <w:pPr>
        <w:pStyle w:val="Header"/>
        <w:tabs>
          <w:tab w:val="right" w:pos="9639"/>
        </w:tabs>
        <w:rPr>
          <w:bCs/>
          <w:noProof w:val="0"/>
          <w:sz w:val="24"/>
          <w:szCs w:val="24"/>
        </w:rPr>
      </w:pPr>
      <w:r>
        <w:rPr>
          <w:rFonts w:eastAsia="SimSun"/>
          <w:noProof w:val="0"/>
          <w:sz w:val="24"/>
          <w:szCs w:val="24"/>
          <w:lang w:eastAsia="zh-CN"/>
        </w:rPr>
        <w:t>Dubrovnik, Croatia</w:t>
      </w:r>
      <w:r w:rsidR="009B07CD" w:rsidRPr="009B07CD">
        <w:rPr>
          <w:rFonts w:eastAsia="SimSun"/>
          <w:noProof w:val="0"/>
          <w:sz w:val="24"/>
          <w:szCs w:val="24"/>
          <w:lang w:eastAsia="zh-CN"/>
        </w:rPr>
        <w:t xml:space="preserve">, </w:t>
      </w:r>
      <w:r>
        <w:rPr>
          <w:rFonts w:eastAsia="SimSun"/>
          <w:noProof w:val="0"/>
          <w:sz w:val="24"/>
          <w:szCs w:val="24"/>
          <w:lang w:eastAsia="zh-CN"/>
        </w:rPr>
        <w:t>11</w:t>
      </w:r>
      <w:r w:rsidR="009B07CD" w:rsidRPr="009B07CD">
        <w:rPr>
          <w:rFonts w:eastAsia="SimSun"/>
          <w:noProof w:val="0"/>
          <w:sz w:val="24"/>
          <w:szCs w:val="24"/>
          <w:lang w:eastAsia="zh-CN"/>
        </w:rPr>
        <w:t xml:space="preserve"> - </w:t>
      </w:r>
      <w:r>
        <w:rPr>
          <w:rFonts w:eastAsia="SimSun"/>
          <w:noProof w:val="0"/>
          <w:sz w:val="24"/>
          <w:szCs w:val="24"/>
          <w:lang w:eastAsia="zh-CN"/>
        </w:rPr>
        <w:t>15</w:t>
      </w:r>
      <w:r w:rsidR="009B07CD" w:rsidRPr="009B07CD">
        <w:rPr>
          <w:rFonts w:eastAsia="SimSun"/>
          <w:noProof w:val="0"/>
          <w:sz w:val="24"/>
          <w:szCs w:val="24"/>
          <w:lang w:eastAsia="zh-CN"/>
        </w:rPr>
        <w:t xml:space="preserve"> </w:t>
      </w:r>
      <w:r w:rsidR="00656910">
        <w:rPr>
          <w:rFonts w:eastAsia="SimSun"/>
          <w:noProof w:val="0"/>
          <w:sz w:val="24"/>
          <w:szCs w:val="24"/>
          <w:lang w:eastAsia="zh-CN"/>
        </w:rPr>
        <w:t>April</w:t>
      </w:r>
      <w:r w:rsidR="009B07CD" w:rsidRPr="009B07CD">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140" w:rsidRPr="00DF031C">
        <w:rPr>
          <w:rFonts w:cs="Arial"/>
          <w:b/>
          <w:bCs/>
          <w:sz w:val="24"/>
          <w:lang w:eastAsia="ja-JP"/>
        </w:rPr>
        <w:t>9.3.1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F031C">
        <w:rPr>
          <w:rFonts w:ascii="Arial" w:hAnsi="Arial" w:cs="Arial"/>
          <w:b/>
          <w:bCs/>
          <w:sz w:val="24"/>
        </w:rPr>
        <w:t>Nokia,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5F43">
        <w:rPr>
          <w:rFonts w:ascii="Arial" w:hAnsi="Arial" w:cs="Arial"/>
          <w:b/>
          <w:bCs/>
          <w:sz w:val="24"/>
        </w:rPr>
        <w:t>Dual</w:t>
      </w:r>
      <w:r w:rsidR="00DF6D4E">
        <w:rPr>
          <w:rFonts w:ascii="Arial" w:hAnsi="Arial" w:cs="Arial"/>
          <w:b/>
          <w:bCs/>
          <w:sz w:val="24"/>
        </w:rPr>
        <w:t xml:space="preserve"> connectivity </w:t>
      </w:r>
      <w:r w:rsidR="00655F43">
        <w:rPr>
          <w:rFonts w:ascii="Arial" w:hAnsi="Arial" w:cs="Arial"/>
          <w:b/>
          <w:bCs/>
          <w:sz w:val="24"/>
        </w:rPr>
        <w:t>between</w:t>
      </w:r>
      <w:r w:rsidR="00DF6D4E">
        <w:rPr>
          <w:rFonts w:ascii="Arial" w:hAnsi="Arial" w:cs="Arial"/>
          <w:b/>
          <w:bCs/>
          <w:sz w:val="24"/>
        </w:rPr>
        <w:t xml:space="preserve"> LTE and the New RAT</w:t>
      </w:r>
    </w:p>
    <w:p w:rsidR="00CD4C7B" w:rsidRPr="00B266B0" w:rsidRDefault="00CD4C7B" w:rsidP="00CD4C7B">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7441AA">
        <w:rPr>
          <w:rFonts w:ascii="Arial" w:hAnsi="Arial" w:cs="Arial"/>
          <w:b/>
          <w:bCs/>
          <w:sz w:val="24"/>
        </w:rPr>
        <w:t>FS_</w:t>
      </w:r>
      <w:r w:rsidR="00DF6D4E" w:rsidRPr="00DF6D4E">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725AC6" w:rsidRDefault="00725AC6" w:rsidP="00CD4C7B">
      <w:r>
        <w:t xml:space="preserve">RAN#71 agreed to start the new </w:t>
      </w:r>
      <w:r w:rsidRPr="00725AC6">
        <w:t>Study on New Radio Access Technology</w:t>
      </w:r>
      <w:r>
        <w:t xml:space="preserve"> [</w:t>
      </w:r>
      <w:r w:rsidR="00DF031C">
        <w:t>1</w:t>
      </w:r>
      <w:r>
        <w:t xml:space="preserve">], </w:t>
      </w:r>
      <w:r w:rsidR="003F0E3C">
        <w:t>with</w:t>
      </w:r>
      <w:r>
        <w:t xml:space="preserve"> e.g. the following</w:t>
      </w:r>
      <w:r w:rsidR="003F0E3C">
        <w:t xml:space="preserve"> objectives</w:t>
      </w:r>
      <w:r>
        <w:t>:</w:t>
      </w:r>
    </w:p>
    <w:p w:rsidR="00725AC6" w:rsidRPr="00725AC6" w:rsidRDefault="00725AC6" w:rsidP="00725AC6">
      <w:pPr>
        <w:ind w:left="568"/>
        <w:rPr>
          <w:bCs/>
          <w:i/>
          <w:lang w:val="en-US"/>
        </w:rPr>
      </w:pPr>
      <w:r w:rsidRPr="00725AC6">
        <w:rPr>
          <w:rFonts w:hint="eastAsia"/>
          <w:bCs/>
          <w:i/>
          <w:lang w:val="en-US"/>
        </w:rPr>
        <w:t xml:space="preserve">Detailed objectives </w:t>
      </w:r>
      <w:r w:rsidRPr="00725AC6">
        <w:rPr>
          <w:bCs/>
          <w:i/>
          <w:lang w:val="en-US"/>
        </w:rPr>
        <w:t xml:space="preserve">of the study item </w:t>
      </w:r>
      <w:r w:rsidRPr="00725AC6">
        <w:rPr>
          <w:rFonts w:hint="eastAsia"/>
          <w:bCs/>
          <w:i/>
          <w:lang w:val="en-US"/>
        </w:rPr>
        <w:t>are:</w:t>
      </w:r>
    </w:p>
    <w:p w:rsidR="00725AC6" w:rsidRPr="00725AC6" w:rsidRDefault="00725AC6" w:rsidP="00725AC6">
      <w:pPr>
        <w:pStyle w:val="ListParagraph"/>
        <w:numPr>
          <w:ilvl w:val="0"/>
          <w:numId w:val="6"/>
        </w:numPr>
        <w:spacing w:line="276" w:lineRule="auto"/>
        <w:ind w:left="1288"/>
        <w:rPr>
          <w:rFonts w:eastAsia="Malgun Gothic"/>
          <w:bCs/>
          <w:i/>
          <w:lang w:val="en-US" w:eastAsia="ko-KR"/>
        </w:rPr>
      </w:pPr>
      <w:r w:rsidRPr="00725AC6">
        <w:rPr>
          <w:rFonts w:eastAsia="Malgun Gothic" w:hint="eastAsia"/>
          <w:bCs/>
          <w:i/>
          <w:lang w:val="en-US" w:eastAsia="ko-KR"/>
        </w:rPr>
        <w:t xml:space="preserve">Target a single technical framework </w:t>
      </w:r>
      <w:r w:rsidRPr="00725AC6">
        <w:rPr>
          <w:rFonts w:eastAsia="Malgun Gothic"/>
          <w:bCs/>
          <w:i/>
          <w:lang w:val="en-US" w:eastAsia="ko-KR"/>
        </w:rPr>
        <w:t xml:space="preserve">addressing </w:t>
      </w:r>
      <w:r w:rsidRPr="00725AC6">
        <w:rPr>
          <w:rFonts w:eastAsia="Malgun Gothic" w:hint="eastAsia"/>
          <w:bCs/>
          <w:i/>
          <w:lang w:val="en-US" w:eastAsia="ko-KR"/>
        </w:rPr>
        <w:t>all usage scenarios</w:t>
      </w:r>
      <w:r w:rsidRPr="00725AC6">
        <w:rPr>
          <w:rFonts w:eastAsia="Malgun Gothic"/>
          <w:bCs/>
          <w:i/>
          <w:lang w:val="en-US" w:eastAsia="ko-KR"/>
        </w:rPr>
        <w:t>, requirements and deployment scenarios</w:t>
      </w:r>
      <w:r w:rsidRPr="00725AC6">
        <w:rPr>
          <w:rFonts w:eastAsia="Malgun Gothic" w:hint="eastAsia"/>
          <w:bCs/>
          <w:i/>
          <w:lang w:val="en-US" w:eastAsia="ko-KR"/>
        </w:rPr>
        <w:t xml:space="preserve"> </w:t>
      </w:r>
      <w:r w:rsidRPr="00725AC6">
        <w:rPr>
          <w:bCs/>
          <w:i/>
          <w:lang w:val="en-US" w:eastAsia="zh-CN"/>
        </w:rPr>
        <w:t xml:space="preserve">defined in </w:t>
      </w:r>
      <w:r w:rsidRPr="00725AC6">
        <w:rPr>
          <w:rFonts w:hint="eastAsia"/>
          <w:bCs/>
          <w:i/>
          <w:lang w:val="en-US" w:eastAsia="ja-JP"/>
        </w:rPr>
        <w:t xml:space="preserve">TR38.913 </w:t>
      </w:r>
      <w:r w:rsidRPr="00725AC6">
        <w:rPr>
          <w:rFonts w:eastAsia="Malgun Gothic" w:hint="eastAsia"/>
          <w:bCs/>
          <w:i/>
          <w:lang w:val="en-US" w:eastAsia="ko-KR"/>
        </w:rPr>
        <w:t>including</w:t>
      </w:r>
    </w:p>
    <w:p w:rsidR="00725AC6" w:rsidRPr="00725AC6" w:rsidRDefault="00725AC6" w:rsidP="00725AC6">
      <w:pPr>
        <w:pStyle w:val="ListParagraph"/>
        <w:numPr>
          <w:ilvl w:val="1"/>
          <w:numId w:val="5"/>
        </w:numPr>
        <w:spacing w:line="276" w:lineRule="auto"/>
        <w:ind w:left="2008"/>
        <w:rPr>
          <w:rFonts w:eastAsia="Malgun Gothic"/>
          <w:bCs/>
          <w:i/>
          <w:lang w:val="en-US" w:eastAsia="ko-KR"/>
        </w:rPr>
      </w:pPr>
      <w:r w:rsidRPr="00725AC6">
        <w:rPr>
          <w:rFonts w:eastAsia="Malgun Gothic"/>
          <w:bCs/>
          <w:i/>
          <w:lang w:val="en-US" w:eastAsia="ko-KR"/>
        </w:rPr>
        <w:t>Enhanced mobile broadband</w:t>
      </w:r>
    </w:p>
    <w:p w:rsidR="00725AC6" w:rsidRPr="00725AC6" w:rsidRDefault="00725AC6" w:rsidP="00725AC6">
      <w:pPr>
        <w:pStyle w:val="ListParagraph"/>
        <w:numPr>
          <w:ilvl w:val="1"/>
          <w:numId w:val="5"/>
        </w:numPr>
        <w:spacing w:line="276" w:lineRule="auto"/>
        <w:ind w:left="2008"/>
        <w:rPr>
          <w:rFonts w:eastAsia="Malgun Gothic"/>
          <w:bCs/>
          <w:i/>
          <w:lang w:val="en-US" w:eastAsia="ko-KR"/>
        </w:rPr>
      </w:pPr>
      <w:r w:rsidRPr="00725AC6">
        <w:rPr>
          <w:rFonts w:eastAsia="Malgun Gothic"/>
          <w:bCs/>
          <w:i/>
          <w:lang w:val="en-US" w:eastAsia="ko-KR"/>
        </w:rPr>
        <w:t>Massive machine-type-communication</w:t>
      </w:r>
      <w:r w:rsidRPr="00725AC6">
        <w:rPr>
          <w:rFonts w:eastAsia="Malgun Gothic" w:hint="eastAsia"/>
          <w:bCs/>
          <w:i/>
          <w:lang w:val="en-US" w:eastAsia="ko-KR"/>
        </w:rPr>
        <w:t>s</w:t>
      </w:r>
    </w:p>
    <w:p w:rsidR="00725AC6" w:rsidRPr="00725AC6" w:rsidRDefault="00725AC6" w:rsidP="00725AC6">
      <w:pPr>
        <w:pStyle w:val="ListParagraph"/>
        <w:numPr>
          <w:ilvl w:val="1"/>
          <w:numId w:val="5"/>
        </w:numPr>
        <w:spacing w:line="276" w:lineRule="auto"/>
        <w:ind w:left="2008"/>
        <w:rPr>
          <w:rFonts w:eastAsia="Malgun Gothic"/>
          <w:bCs/>
          <w:i/>
          <w:lang w:val="en-US" w:eastAsia="ko-KR"/>
        </w:rPr>
      </w:pPr>
      <w:r w:rsidRPr="00725AC6">
        <w:rPr>
          <w:rFonts w:eastAsia="SimSun" w:hint="eastAsia"/>
          <w:bCs/>
          <w:i/>
          <w:lang w:val="en-US" w:eastAsia="zh-CN"/>
        </w:rPr>
        <w:t>Ultra reliable and low latency communications</w:t>
      </w:r>
      <w:r w:rsidRPr="00725AC6">
        <w:rPr>
          <w:rFonts w:eastAsia="Malgun Gothic"/>
          <w:bCs/>
          <w:i/>
          <w:lang w:val="en-US" w:eastAsia="ko-KR"/>
        </w:rPr>
        <w:t xml:space="preserve"> </w:t>
      </w:r>
    </w:p>
    <w:p w:rsidR="00725AC6" w:rsidRPr="00725AC6" w:rsidRDefault="00725AC6" w:rsidP="00725AC6">
      <w:pPr>
        <w:pStyle w:val="ListParagraph"/>
        <w:numPr>
          <w:ilvl w:val="0"/>
          <w:numId w:val="6"/>
        </w:numPr>
        <w:spacing w:line="276" w:lineRule="auto"/>
        <w:ind w:left="1288"/>
        <w:rPr>
          <w:rFonts w:eastAsia="Malgun Gothic"/>
          <w:bCs/>
          <w:i/>
          <w:lang w:val="en-US" w:eastAsia="ko-KR"/>
        </w:rPr>
      </w:pPr>
      <w:r w:rsidRPr="00725AC6">
        <w:rPr>
          <w:rFonts w:eastAsia="Malgun Gothic" w:hint="eastAsia"/>
          <w:bCs/>
          <w:i/>
          <w:lang w:val="en-US" w:eastAsia="ko-KR"/>
        </w:rPr>
        <w:t xml:space="preserve">The </w:t>
      </w:r>
      <w:r w:rsidRPr="00725AC6">
        <w:rPr>
          <w:rFonts w:eastAsia="Malgun Gothic"/>
          <w:bCs/>
          <w:i/>
          <w:lang w:val="en-US" w:eastAsia="ko-KR"/>
        </w:rPr>
        <w:t>new RAT shall be inherently forward compatible</w:t>
      </w:r>
      <w:r w:rsidRPr="00725AC6">
        <w:rPr>
          <w:rFonts w:eastAsia="Malgun Gothic"/>
          <w:bCs/>
          <w:i/>
          <w:lang w:val="en-US" w:eastAsia="ko-KR"/>
        </w:rPr>
        <w:br/>
        <w:t>&lt;…&gt;</w:t>
      </w:r>
    </w:p>
    <w:p w:rsidR="00725AC6" w:rsidRPr="00725AC6" w:rsidRDefault="00725AC6" w:rsidP="00725AC6">
      <w:pPr>
        <w:pStyle w:val="ListParagraph"/>
        <w:numPr>
          <w:ilvl w:val="0"/>
          <w:numId w:val="7"/>
        </w:numPr>
        <w:spacing w:line="276" w:lineRule="auto"/>
        <w:ind w:left="1288"/>
        <w:rPr>
          <w:rFonts w:eastAsia="Malgun Gothic"/>
          <w:bCs/>
          <w:i/>
          <w:lang w:val="en-US" w:eastAsia="ko-KR"/>
        </w:rPr>
      </w:pPr>
      <w:r w:rsidRPr="00725AC6">
        <w:rPr>
          <w:bCs/>
          <w:i/>
          <w:lang w:val="en-US" w:eastAsia="ja-JP"/>
        </w:rPr>
        <w:t>Study and identify</w:t>
      </w:r>
      <w:r w:rsidRPr="00725AC6">
        <w:rPr>
          <w:rFonts w:eastAsia="Malgun Gothic" w:hint="eastAsia"/>
          <w:bCs/>
          <w:i/>
          <w:lang w:val="en-US" w:eastAsia="ko-KR"/>
        </w:rPr>
        <w:t xml:space="preserve"> </w:t>
      </w:r>
      <w:r w:rsidRPr="00725AC6">
        <w:rPr>
          <w:rFonts w:hint="eastAsia"/>
          <w:bCs/>
          <w:i/>
          <w:lang w:val="en-US" w:eastAsia="ja-JP"/>
        </w:rPr>
        <w:t xml:space="preserve"> the technical features necessary to enable </w:t>
      </w:r>
      <w:r w:rsidRPr="00725AC6">
        <w:rPr>
          <w:rFonts w:eastAsia="Malgun Gothic"/>
          <w:bCs/>
          <w:i/>
          <w:lang w:val="en-US" w:eastAsia="ko-KR"/>
        </w:rPr>
        <w:t>the</w:t>
      </w:r>
      <w:r w:rsidRPr="00725AC6">
        <w:rPr>
          <w:rFonts w:eastAsia="Malgun Gothic" w:hint="eastAsia"/>
          <w:bCs/>
          <w:i/>
          <w:lang w:val="en-US" w:eastAsia="ko-KR"/>
        </w:rPr>
        <w:t xml:space="preserve"> new radio access</w:t>
      </w:r>
      <w:r w:rsidRPr="00725AC6">
        <w:rPr>
          <w:rFonts w:eastAsia="Malgun Gothic"/>
          <w:bCs/>
          <w:i/>
          <w:lang w:val="en-US" w:eastAsia="ko-KR"/>
        </w:rPr>
        <w:t xml:space="preserve"> to meet objective 1 and 2, also including:</w:t>
      </w:r>
    </w:p>
    <w:p w:rsidR="00E67D45" w:rsidRDefault="00725AC6" w:rsidP="00E67D45">
      <w:pPr>
        <w:pStyle w:val="ListParagraph"/>
        <w:numPr>
          <w:ilvl w:val="1"/>
          <w:numId w:val="5"/>
        </w:numPr>
        <w:spacing w:line="276" w:lineRule="auto"/>
        <w:ind w:left="2008"/>
        <w:rPr>
          <w:rFonts w:eastAsia="Malgun Gothic"/>
          <w:bCs/>
          <w:lang w:val="en-US" w:eastAsia="ko-KR"/>
        </w:rPr>
      </w:pPr>
      <w:r w:rsidRPr="00725AC6">
        <w:rPr>
          <w:rFonts w:eastAsia="Malgun Gothic" w:hint="eastAsia"/>
          <w:bCs/>
          <w:i/>
          <w:lang w:val="en-US" w:eastAsia="ko-KR"/>
        </w:rPr>
        <w:t xml:space="preserve">Tight </w:t>
      </w:r>
      <w:r w:rsidRPr="00725AC6">
        <w:rPr>
          <w:rFonts w:hint="eastAsia"/>
          <w:bCs/>
          <w:i/>
          <w:lang w:val="en-US" w:eastAsia="ja-JP"/>
        </w:rPr>
        <w:t>interworking</w:t>
      </w:r>
      <w:r w:rsidRPr="00725AC6">
        <w:rPr>
          <w:rFonts w:eastAsia="Malgun Gothic" w:hint="eastAsia"/>
          <w:bCs/>
          <w:i/>
          <w:lang w:val="en-US" w:eastAsia="ko-KR"/>
        </w:rPr>
        <w:t xml:space="preserve"> between the new RAT and LTE </w:t>
      </w:r>
    </w:p>
    <w:p w:rsidR="00E67D45" w:rsidRPr="00E67D45" w:rsidRDefault="00E67D45" w:rsidP="00E67D45">
      <w:pPr>
        <w:pStyle w:val="ListParagraph"/>
        <w:numPr>
          <w:ilvl w:val="1"/>
          <w:numId w:val="5"/>
        </w:numPr>
        <w:spacing w:line="276" w:lineRule="auto"/>
        <w:ind w:left="2008"/>
        <w:rPr>
          <w:rFonts w:eastAsia="Malgun Gothic"/>
          <w:bCs/>
          <w:i/>
          <w:lang w:val="en-US" w:eastAsia="ko-KR"/>
        </w:rPr>
      </w:pPr>
      <w:r w:rsidRPr="00E67D45">
        <w:rPr>
          <w:rFonts w:hint="eastAsia"/>
          <w:bCs/>
          <w:i/>
          <w:lang w:val="en-US" w:eastAsia="ja-JP"/>
        </w:rPr>
        <w:t>Interworking with non-3GPP systems</w:t>
      </w:r>
    </w:p>
    <w:p w:rsidR="00E67D45" w:rsidRPr="00E67D45" w:rsidRDefault="00E67D45" w:rsidP="00E67D45">
      <w:pPr>
        <w:pStyle w:val="ListParagraph"/>
        <w:numPr>
          <w:ilvl w:val="1"/>
          <w:numId w:val="5"/>
        </w:numPr>
        <w:spacing w:line="276" w:lineRule="auto"/>
        <w:ind w:left="2008"/>
        <w:rPr>
          <w:rFonts w:eastAsia="Malgun Gothic"/>
          <w:bCs/>
          <w:i/>
          <w:lang w:val="en-US" w:eastAsia="ko-KR"/>
        </w:rPr>
      </w:pPr>
      <w:r w:rsidRPr="00E67D45">
        <w:rPr>
          <w:rFonts w:eastAsia="Malgun Gothic"/>
          <w:bCs/>
          <w:i/>
          <w:lang w:val="en-US" w:eastAsia="ko-KR"/>
        </w:rPr>
        <w:t>Operation in licensed bands (paired and unpaired), and licensed assisted operations in unlicensed bands</w:t>
      </w:r>
    </w:p>
    <w:p w:rsidR="00E67D45" w:rsidRPr="00E67D45" w:rsidRDefault="00E67D45" w:rsidP="00E67D45">
      <w:pPr>
        <w:pStyle w:val="ListParagraph"/>
        <w:numPr>
          <w:ilvl w:val="3"/>
          <w:numId w:val="5"/>
        </w:numPr>
        <w:spacing w:line="276" w:lineRule="auto"/>
        <w:rPr>
          <w:rFonts w:eastAsia="Malgun Gothic"/>
          <w:bCs/>
          <w:i/>
          <w:lang w:val="en-US" w:eastAsia="ko-KR"/>
        </w:rPr>
      </w:pPr>
      <w:r w:rsidRPr="00E67D45">
        <w:rPr>
          <w:rFonts w:eastAsia="Malgun Gothic"/>
          <w:bCs/>
          <w:i/>
          <w:lang w:val="en-US" w:eastAsia="ko-KR"/>
        </w:rPr>
        <w:t>[Standalone operation in unlicensed bands is FFS]</w:t>
      </w:r>
    </w:p>
    <w:p w:rsidR="00E67D45" w:rsidRDefault="00E67D45" w:rsidP="00725AC6">
      <w:pPr>
        <w:pStyle w:val="ListParagraph"/>
        <w:spacing w:line="276" w:lineRule="auto"/>
        <w:ind w:left="0"/>
        <w:rPr>
          <w:rFonts w:eastAsia="Malgun Gothic"/>
          <w:bCs/>
          <w:lang w:val="en-US" w:eastAsia="ko-KR"/>
        </w:rPr>
      </w:pPr>
    </w:p>
    <w:p w:rsidR="00725AC6" w:rsidRDefault="00DF031C" w:rsidP="00725AC6">
      <w:pPr>
        <w:pStyle w:val="ListParagraph"/>
        <w:spacing w:line="276" w:lineRule="auto"/>
        <w:ind w:left="0"/>
        <w:rPr>
          <w:rFonts w:eastAsia="Malgun Gothic"/>
          <w:bCs/>
          <w:lang w:val="en-US" w:eastAsia="ko-KR"/>
        </w:rPr>
      </w:pPr>
      <w:r>
        <w:rPr>
          <w:rFonts w:eastAsia="Malgun Gothic"/>
          <w:bCs/>
          <w:lang w:val="en-US" w:eastAsia="ko-KR"/>
        </w:rPr>
        <w:t>The requirements in TR 38.913 [2</w:t>
      </w:r>
      <w:r w:rsidR="003F0E3C">
        <w:rPr>
          <w:rFonts w:eastAsia="Malgun Gothic"/>
          <w:bCs/>
          <w:lang w:val="en-US" w:eastAsia="ko-KR"/>
        </w:rPr>
        <w:t>] referred to above include the following:</w:t>
      </w:r>
    </w:p>
    <w:p w:rsidR="00F44479" w:rsidRPr="00F44479" w:rsidRDefault="00F44479" w:rsidP="00F44479">
      <w:pPr>
        <w:pStyle w:val="Heading1"/>
        <w:ind w:hanging="566"/>
        <w:rPr>
          <w:i/>
          <w:lang w:eastAsia="zh-CN"/>
        </w:rPr>
      </w:pPr>
      <w:bookmarkStart w:id="1" w:name="_Toc446354204"/>
      <w:r w:rsidRPr="00F44479">
        <w:rPr>
          <w:rFonts w:hint="eastAsia"/>
          <w:i/>
          <w:lang w:eastAsia="zh-CN"/>
        </w:rPr>
        <w:t>8</w:t>
      </w:r>
      <w:r w:rsidRPr="00F44479">
        <w:rPr>
          <w:rFonts w:hint="eastAsia"/>
          <w:i/>
          <w:lang w:eastAsia="zh-CN"/>
        </w:rPr>
        <w:tab/>
      </w:r>
      <w:r w:rsidRPr="00F44479">
        <w:rPr>
          <w:i/>
          <w:lang w:eastAsia="zh-CN"/>
        </w:rPr>
        <w:t>Requirements for architecture and migration of Next Generation Radio Access Technologies</w:t>
      </w:r>
      <w:bookmarkEnd w:id="1"/>
    </w:p>
    <w:p w:rsidR="00F44479" w:rsidRPr="00F44479" w:rsidRDefault="00F44479" w:rsidP="00F44479">
      <w:pPr>
        <w:ind w:left="568"/>
        <w:rPr>
          <w:i/>
          <w:lang w:eastAsia="zh-CN"/>
        </w:rPr>
      </w:pPr>
      <w:r w:rsidRPr="00F44479">
        <w:rPr>
          <w:i/>
          <w:lang w:val="en-US" w:eastAsia="zh-CN"/>
        </w:rPr>
        <w:t xml:space="preserve">The RAN design for the </w:t>
      </w:r>
      <w:r w:rsidRPr="00F44479">
        <w:rPr>
          <w:i/>
          <w:lang w:eastAsia="zh-CN"/>
        </w:rPr>
        <w:t>Next Generation Radio Access Technologies shall be designed to fulfil</w:t>
      </w:r>
      <w:r w:rsidRPr="00F44479">
        <w:rPr>
          <w:rFonts w:hint="eastAsia"/>
          <w:i/>
          <w:lang w:eastAsia="zh-CN"/>
        </w:rPr>
        <w:t>l</w:t>
      </w:r>
      <w:r w:rsidRPr="00F44479">
        <w:rPr>
          <w:i/>
          <w:lang w:eastAsia="zh-CN"/>
        </w:rPr>
        <w:t xml:space="preserve"> the following requirements:</w:t>
      </w:r>
    </w:p>
    <w:p w:rsidR="00F44479" w:rsidRPr="00F44479" w:rsidRDefault="00F44479" w:rsidP="00F44479">
      <w:pPr>
        <w:pStyle w:val="B1"/>
        <w:ind w:left="1136"/>
        <w:rPr>
          <w:i/>
          <w:lang w:eastAsia="zh-CN"/>
        </w:rPr>
      </w:pPr>
      <w:r w:rsidRPr="00F44479">
        <w:rPr>
          <w:i/>
          <w:lang w:eastAsia="zh-CN"/>
        </w:rPr>
        <w:t>-</w:t>
      </w:r>
      <w:r w:rsidRPr="00F44479">
        <w:rPr>
          <w:i/>
          <w:lang w:eastAsia="zh-CN"/>
        </w:rPr>
        <w:tab/>
        <w:t>The RAN architecture shall support tight interworking between the new RAT and LTE.</w:t>
      </w:r>
    </w:p>
    <w:p w:rsidR="00F44479" w:rsidRPr="00F44479" w:rsidRDefault="00F44479" w:rsidP="00F44479">
      <w:pPr>
        <w:pStyle w:val="B2"/>
        <w:ind w:left="1419"/>
        <w:rPr>
          <w:i/>
          <w:lang w:eastAsia="zh-CN"/>
        </w:rPr>
      </w:pPr>
      <w:r w:rsidRPr="00F44479">
        <w:rPr>
          <w:i/>
          <w:lang w:eastAsia="zh-CN"/>
        </w:rPr>
        <w:t>-</w:t>
      </w:r>
      <w:r w:rsidRPr="00F44479">
        <w:rPr>
          <w:i/>
          <w:lang w:eastAsia="zh-CN"/>
        </w:rPr>
        <w:tab/>
        <w:t>Considering</w:t>
      </w:r>
      <w:r w:rsidRPr="00F44479" w:rsidDel="00A13732">
        <w:rPr>
          <w:i/>
          <w:lang w:eastAsia="zh-CN"/>
        </w:rPr>
        <w:t xml:space="preserve"> </w:t>
      </w:r>
      <w:r w:rsidRPr="00F44479">
        <w:rPr>
          <w:i/>
          <w:lang w:eastAsia="zh-CN"/>
        </w:rPr>
        <w:t>high performing inter-RAT mobility and aggregation of data flows via at least dual connectivity between LTE and new RAT. This shall be supported for both collocated and non-collocated site deployments.</w:t>
      </w:r>
    </w:p>
    <w:p w:rsidR="00F44479" w:rsidRPr="00F44479" w:rsidRDefault="00F44479" w:rsidP="00F44479">
      <w:pPr>
        <w:ind w:left="1136" w:hanging="284"/>
        <w:rPr>
          <w:i/>
          <w:color w:val="000000"/>
          <w:lang w:eastAsia="ja-JP"/>
        </w:rPr>
      </w:pPr>
      <w:r w:rsidRPr="00F44479">
        <w:rPr>
          <w:i/>
          <w:color w:val="000000"/>
          <w:lang w:eastAsia="ja-JP"/>
        </w:rPr>
        <w:t>&lt;…&gt;</w:t>
      </w:r>
    </w:p>
    <w:p w:rsidR="00F44479" w:rsidRPr="00F44479" w:rsidRDefault="00F44479" w:rsidP="00F44479">
      <w:pPr>
        <w:pStyle w:val="B1"/>
        <w:ind w:left="1136"/>
        <w:rPr>
          <w:i/>
          <w:lang w:eastAsia="zh-CN"/>
        </w:rPr>
      </w:pPr>
      <w:r w:rsidRPr="00F44479">
        <w:rPr>
          <w:i/>
          <w:lang w:eastAsia="zh-CN"/>
        </w:rPr>
        <w:t>-</w:t>
      </w:r>
      <w:r w:rsidRPr="00F44479">
        <w:rPr>
          <w:i/>
          <w:lang w:eastAsia="zh-CN"/>
        </w:rPr>
        <w:tab/>
        <w:t>The design of the RAN architecture shall allow the deployment of new services rapidly and efficiently.</w:t>
      </w:r>
    </w:p>
    <w:p w:rsidR="00725AC6" w:rsidRPr="003F0E3C" w:rsidRDefault="003F0E3C" w:rsidP="00CD4C7B">
      <w:r>
        <w:t xml:space="preserve">This contribution discusses </w:t>
      </w:r>
      <w:r w:rsidR="004C1D83">
        <w:t xml:space="preserve">motivation and possible solutions </w:t>
      </w:r>
      <w:r w:rsidR="00F44479">
        <w:t xml:space="preserve">for </w:t>
      </w:r>
      <w:r w:rsidR="00F44479" w:rsidRPr="00F44479">
        <w:t xml:space="preserve">dual connectivity between LTE and </w:t>
      </w:r>
      <w:r w:rsidR="00F44479" w:rsidRPr="00F44479">
        <w:rPr>
          <w:b/>
        </w:rPr>
        <w:t>new RAT (NR)</w:t>
      </w:r>
      <w:r w:rsidR="00F44479">
        <w:t>.</w:t>
      </w:r>
    </w:p>
    <w:p w:rsidR="00CD4C7B" w:rsidRDefault="00CD4C7B" w:rsidP="00CD4C7B">
      <w:pPr>
        <w:pStyle w:val="Heading1"/>
      </w:pPr>
      <w:r w:rsidRPr="006E13D1">
        <w:lastRenderedPageBreak/>
        <w:t>2</w:t>
      </w:r>
      <w:r w:rsidRPr="006E13D1">
        <w:tab/>
      </w:r>
      <w:r w:rsidR="003F0E3C">
        <w:t>Discussion</w:t>
      </w:r>
    </w:p>
    <w:p w:rsidR="00AF1B11" w:rsidRPr="00AF1B11" w:rsidRDefault="00AF1B11" w:rsidP="00AF1B11">
      <w:pPr>
        <w:pStyle w:val="Heading2"/>
      </w:pPr>
      <w:r>
        <w:t>2</w:t>
      </w:r>
      <w:r w:rsidRPr="006E13D1">
        <w:t>.1</w:t>
      </w:r>
      <w:r w:rsidRPr="006E13D1">
        <w:tab/>
      </w:r>
      <w:r>
        <w:t>Motivation</w:t>
      </w:r>
    </w:p>
    <w:p w:rsidR="00A51859" w:rsidRDefault="007B376D" w:rsidP="00CD4C7B">
      <w:r>
        <w:t xml:space="preserve">One of the three identified usage scenarios for the new RAT is </w:t>
      </w:r>
      <w:r w:rsidRPr="00CD76CD">
        <w:rPr>
          <w:b/>
        </w:rPr>
        <w:t>enhanced mobile broadband</w:t>
      </w:r>
      <w:r w:rsidR="00A51859" w:rsidRPr="00CD76CD">
        <w:rPr>
          <w:b/>
        </w:rPr>
        <w:t xml:space="preserve"> (eMBB)</w:t>
      </w:r>
      <w:r w:rsidR="00A51859">
        <w:t>, where the motivation is to boost the performance of the MBB available from networks deployed today.</w:t>
      </w:r>
      <w:r w:rsidR="00DA73A6">
        <w:t xml:space="preserve"> For eMBB, five deployment scenarios are already </w:t>
      </w:r>
      <w:r w:rsidR="00744CCE">
        <w:t xml:space="preserve">tentatively </w:t>
      </w:r>
      <w:r w:rsidR="00DA73A6">
        <w:t>identified in the TR [</w:t>
      </w:r>
      <w:r w:rsidR="00DF031C">
        <w:t>2</w:t>
      </w:r>
      <w:r w:rsidR="00DA73A6">
        <w:t>], one of which is dense urban where a macro-cell layer can be coupled with a micro-cell layer, and where the “</w:t>
      </w:r>
      <w:r w:rsidR="00DA73A6" w:rsidRPr="00DA73A6">
        <w:t>key characteristics of this deployment scenario are high traffic loads, outdoor and outdoor-to-indoor coverage.</w:t>
      </w:r>
      <w:r w:rsidR="00DA73A6">
        <w:t xml:space="preserve">” </w:t>
      </w:r>
      <w:r w:rsidR="00BB2B79">
        <w:t xml:space="preserve">In this deployment scenario, representative values for the carrier frequency where the micro-cell layer can be operating are around 4GHz and </w:t>
      </w:r>
      <w:r w:rsidR="00D650B8">
        <w:t>around 30GHz</w:t>
      </w:r>
      <w:r w:rsidR="00BB2B79">
        <w:t>.</w:t>
      </w:r>
      <w:r w:rsidR="004507CF">
        <w:t xml:space="preserve"> </w:t>
      </w:r>
    </w:p>
    <w:p w:rsidR="00F23751" w:rsidRDefault="007B0BFE" w:rsidP="00CD4C7B">
      <w:r>
        <w:t xml:space="preserve">At the time of initial deployments of the new RAT, </w:t>
      </w:r>
      <w:r w:rsidR="00FB4801">
        <w:t xml:space="preserve">the current LTE deployments seem highly likely to still exist in operation. Indeed, </w:t>
      </w:r>
      <w:r w:rsidR="00E87B47">
        <w:t xml:space="preserve">an initial deployment of the new RAT can be one where NR micro cells are deployed on top of </w:t>
      </w:r>
      <w:r w:rsidR="00FB4801">
        <w:t>a pre-exist</w:t>
      </w:r>
      <w:r w:rsidR="00D650B8">
        <w:t>ing LTE macro-cell layer</w:t>
      </w:r>
      <w:r w:rsidR="009F7BE1">
        <w:t xml:space="preserve"> operating in a licensed band</w:t>
      </w:r>
      <w:r w:rsidR="00D650B8">
        <w:t xml:space="preserve">. </w:t>
      </w:r>
    </w:p>
    <w:p w:rsidR="00F23751" w:rsidRDefault="00F23751" w:rsidP="00F23751">
      <w:pPr>
        <w:ind w:left="1988" w:hanging="1420"/>
      </w:pPr>
      <w:r w:rsidRPr="00F23751">
        <w:rPr>
          <w:b/>
        </w:rPr>
        <w:t>Observation 1</w:t>
      </w:r>
      <w:r>
        <w:t>:</w:t>
      </w:r>
      <w:r>
        <w:tab/>
        <w:t>In an initial deployment of the new RAT, NR micro cells can be deployed on top of a pre-existing LTE macro-cell layer</w:t>
      </w:r>
      <w:r w:rsidR="009F7BE1">
        <w:t xml:space="preserve"> operating in a licensed band</w:t>
      </w:r>
      <w:r>
        <w:t>.</w:t>
      </w:r>
    </w:p>
    <w:p w:rsidR="00DA73A6" w:rsidRDefault="00883340" w:rsidP="00CD4C7B">
      <w:r>
        <w:t xml:space="preserve">Here </w:t>
      </w:r>
      <w:r w:rsidRPr="00883340">
        <w:t xml:space="preserve">dual connectivity between LTE and </w:t>
      </w:r>
      <w:r>
        <w:t xml:space="preserve">the </w:t>
      </w:r>
      <w:r w:rsidRPr="00883340">
        <w:t xml:space="preserve">new RAT </w:t>
      </w:r>
      <w:r w:rsidR="00140F1B">
        <w:t>comes into play: i</w:t>
      </w:r>
      <w:r w:rsidR="00F23751">
        <w:t xml:space="preserve">n such a scenario, </w:t>
      </w:r>
      <w:r w:rsidR="00D1707B">
        <w:t xml:space="preserve">having </w:t>
      </w:r>
      <w:r w:rsidR="00140F1B">
        <w:t xml:space="preserve">the UE’s control-plane connection to an LTE </w:t>
      </w:r>
      <w:r w:rsidR="00AF1B11">
        <w:t xml:space="preserve">macro </w:t>
      </w:r>
      <w:r w:rsidR="00140F1B">
        <w:t xml:space="preserve">cell </w:t>
      </w:r>
      <w:r w:rsidR="00D1707B">
        <w:t>makes it</w:t>
      </w:r>
      <w:r w:rsidR="00140F1B">
        <w:t xml:space="preserve"> more robust against mobility</w:t>
      </w:r>
      <w:r w:rsidR="004507CF">
        <w:t xml:space="preserve"> – also because the NR micro cells can be operating in an unlicensed band</w:t>
      </w:r>
      <w:r w:rsidR="00140F1B">
        <w:t>. At the same time, the UE can be served by the high-performing new RAT in the user plane.</w:t>
      </w:r>
    </w:p>
    <w:p w:rsidR="00E87B47" w:rsidRDefault="00AF1B11" w:rsidP="002B08F5">
      <w:pPr>
        <w:ind w:left="1988" w:hanging="1420"/>
      </w:pPr>
      <w:r w:rsidRPr="00AF1B11">
        <w:rPr>
          <w:b/>
        </w:rPr>
        <w:t>Proposal 1</w:t>
      </w:r>
      <w:r>
        <w:t>:</w:t>
      </w:r>
      <w:r>
        <w:tab/>
        <w:t xml:space="preserve">Capture in the TR that </w:t>
      </w:r>
      <w:r w:rsidR="00883340">
        <w:t xml:space="preserve">dual connectivity between </w:t>
      </w:r>
      <w:r w:rsidRPr="00AF1B11">
        <w:t xml:space="preserve">LTE and the </w:t>
      </w:r>
      <w:r>
        <w:t>n</w:t>
      </w:r>
      <w:r w:rsidRPr="00AF1B11">
        <w:t>ew RAT</w:t>
      </w:r>
      <w:r>
        <w:t xml:space="preserve"> (NR), with the </w:t>
      </w:r>
      <w:r w:rsidR="001A40DB">
        <w:t xml:space="preserve">UE’s </w:t>
      </w:r>
      <w:r>
        <w:t xml:space="preserve">C-plane connection to an LTE macro cell, </w:t>
      </w:r>
      <w:r w:rsidRPr="00AF1B11">
        <w:t xml:space="preserve">can provide connection stability to initial </w:t>
      </w:r>
      <w:r>
        <w:t>NR</w:t>
      </w:r>
      <w:r w:rsidRPr="00AF1B11">
        <w:t xml:space="preserve"> deployment as </w:t>
      </w:r>
      <w:r>
        <w:t>micro</w:t>
      </w:r>
      <w:r w:rsidRPr="00AF1B11">
        <w:t xml:space="preserve"> cells under pre-existing LTE coverage</w:t>
      </w:r>
      <w:r>
        <w:t>.</w:t>
      </w:r>
    </w:p>
    <w:p w:rsidR="0015592A" w:rsidRPr="0015592A" w:rsidRDefault="0015592A" w:rsidP="00DF031C">
      <w:r w:rsidRPr="00DF031C">
        <w:t xml:space="preserve">Naturally, </w:t>
      </w:r>
      <w:r>
        <w:t>as in LTE dual connectivity, there is no need to restrict the (equivalents of) MCG and SCG in LTE-NR dual connectivity to micro cells or macro cells specifically.</w:t>
      </w:r>
    </w:p>
    <w:p w:rsidR="004C1D83" w:rsidRPr="00AF1B11" w:rsidRDefault="004C1D83" w:rsidP="004C1D83">
      <w:pPr>
        <w:pStyle w:val="Heading2"/>
      </w:pPr>
      <w:r>
        <w:t>2</w:t>
      </w:r>
      <w:r w:rsidRPr="006E13D1">
        <w:t>.</w:t>
      </w:r>
      <w:r>
        <w:t>2</w:t>
      </w:r>
      <w:r w:rsidRPr="006E13D1">
        <w:tab/>
      </w:r>
      <w:r w:rsidR="00777DDD">
        <w:t>Possible solutions</w:t>
      </w:r>
    </w:p>
    <w:p w:rsidR="002B08F5" w:rsidRDefault="004A2EE9" w:rsidP="00CD4C7B">
      <w:r>
        <w:t>T</w:t>
      </w:r>
      <w:r w:rsidR="00536FEC">
        <w:t>he following high-level U-plane options considered in the pre-study [</w:t>
      </w:r>
      <w:r w:rsidR="00DF031C">
        <w:t>3</w:t>
      </w:r>
      <w:r w:rsidR="00536FEC">
        <w:t xml:space="preserve">] </w:t>
      </w:r>
      <w:r>
        <w:t xml:space="preserve">for LTE dual connectivity </w:t>
      </w:r>
      <w:r w:rsidR="00536FEC">
        <w:t xml:space="preserve">can equally be considered in </w:t>
      </w:r>
      <w:r w:rsidR="000819E1">
        <w:t xml:space="preserve">the </w:t>
      </w:r>
      <w:r w:rsidR="00536FEC">
        <w:t xml:space="preserve">context of LTE-NR </w:t>
      </w:r>
      <w:r w:rsidR="000819E1">
        <w:t>dual</w:t>
      </w:r>
      <w:r w:rsidR="00536FEC">
        <w:t xml:space="preserve"> connectivity (with the </w:t>
      </w:r>
      <w:r w:rsidR="000819E1">
        <w:t>obvious</w:t>
      </w:r>
      <w:r w:rsidR="00536FEC">
        <w:t xml:space="preserve"> </w:t>
      </w:r>
      <w:r w:rsidR="000819E1">
        <w:t xml:space="preserve">terminology </w:t>
      </w:r>
      <w:r w:rsidR="00536FEC">
        <w:t>adaptations):</w:t>
      </w:r>
    </w:p>
    <w:p w:rsidR="00536FEC" w:rsidRPr="00536FEC" w:rsidRDefault="00536FEC" w:rsidP="00536FEC">
      <w:pPr>
        <w:pStyle w:val="B1"/>
        <w:rPr>
          <w:i/>
        </w:rPr>
      </w:pPr>
      <w:r w:rsidRPr="00536FEC">
        <w:rPr>
          <w:i/>
        </w:rPr>
        <w:t>-</w:t>
      </w:r>
      <w:r w:rsidRPr="00536FEC">
        <w:rPr>
          <w:i/>
        </w:rPr>
        <w:tab/>
        <w:t>Option 1: S1-U also terminates in SeNB;</w:t>
      </w:r>
    </w:p>
    <w:p w:rsidR="00536FEC" w:rsidRPr="00536FEC" w:rsidRDefault="00536FEC" w:rsidP="00536FEC">
      <w:pPr>
        <w:pStyle w:val="B1"/>
        <w:rPr>
          <w:i/>
        </w:rPr>
      </w:pPr>
      <w:r w:rsidRPr="00536FEC">
        <w:rPr>
          <w:i/>
        </w:rPr>
        <w:t>-</w:t>
      </w:r>
      <w:r w:rsidRPr="00536FEC">
        <w:rPr>
          <w:i/>
        </w:rPr>
        <w:tab/>
        <w:t>Option 2: S1-U terminates in MeNB</w:t>
      </w:r>
      <w:bookmarkStart w:id="2" w:name="_GoBack"/>
      <w:bookmarkEnd w:id="2"/>
      <w:r w:rsidRPr="00536FEC">
        <w:rPr>
          <w:i/>
        </w:rPr>
        <w:t>, no bearer split in RAN;</w:t>
      </w:r>
    </w:p>
    <w:p w:rsidR="00536FEC" w:rsidRPr="00536FEC" w:rsidRDefault="00536FEC" w:rsidP="00536FEC">
      <w:pPr>
        <w:pStyle w:val="B1"/>
        <w:rPr>
          <w:i/>
        </w:rPr>
      </w:pPr>
      <w:r w:rsidRPr="00536FEC">
        <w:rPr>
          <w:i/>
        </w:rPr>
        <w:t>-</w:t>
      </w:r>
      <w:r w:rsidRPr="00536FEC">
        <w:rPr>
          <w:i/>
        </w:rPr>
        <w:tab/>
        <w:t>Option 3: S1-U terminates in MeNB, bearer split in RAN.</w:t>
      </w:r>
    </w:p>
    <w:p w:rsidR="00536FEC" w:rsidRDefault="00536FEC" w:rsidP="00CD4C7B">
      <w:r>
        <w:t xml:space="preserve">This already leads to one immediate observation. If, for a UE configured with LTE-NR </w:t>
      </w:r>
      <w:r w:rsidR="000819E1">
        <w:t>dual</w:t>
      </w:r>
      <w:r>
        <w:t xml:space="preserve"> connectivity, the only U-plane connection to the core network is from the LTE eNB, the very high bit rates provided by the new RAT </w:t>
      </w:r>
      <w:r w:rsidR="00316E3F">
        <w:t>will have to be accommodated by the route traversing that eNB</w:t>
      </w:r>
      <w:r>
        <w:t xml:space="preserve">. This </w:t>
      </w:r>
      <w:r w:rsidR="001705DC">
        <w:t>c</w:t>
      </w:r>
      <w:r>
        <w:t xml:space="preserve">ould easily </w:t>
      </w:r>
      <w:r w:rsidR="00316E3F">
        <w:t>create</w:t>
      </w:r>
      <w:r>
        <w:t xml:space="preserve"> a bottleneck because </w:t>
      </w:r>
      <w:r w:rsidR="00316E3F">
        <w:t>the LTE eNB and possibly its backhaul connection</w:t>
      </w:r>
      <w:r>
        <w:t xml:space="preserve"> was never dimensioned to handle the kind of bit rates supported by the new RAT</w:t>
      </w:r>
      <w:r w:rsidR="00316E3F">
        <w:t>. B</w:t>
      </w:r>
      <w:r w:rsidR="00F40A77">
        <w:t>ringing the LTE eNB up to speed with such bit rates would hardly be achieved with a mere software upgrade.</w:t>
      </w:r>
    </w:p>
    <w:p w:rsidR="00F40A77" w:rsidRDefault="003E2953" w:rsidP="00F40A77">
      <w:pPr>
        <w:ind w:left="1988" w:hanging="1420"/>
      </w:pPr>
      <w:r>
        <w:rPr>
          <w:b/>
        </w:rPr>
        <w:t>Observation</w:t>
      </w:r>
      <w:r w:rsidRPr="00AF1B11">
        <w:rPr>
          <w:b/>
        </w:rPr>
        <w:t xml:space="preserve"> </w:t>
      </w:r>
      <w:r w:rsidR="00F40A77">
        <w:rPr>
          <w:b/>
        </w:rPr>
        <w:t>2</w:t>
      </w:r>
      <w:r w:rsidR="00F40A77">
        <w:t>:</w:t>
      </w:r>
      <w:r w:rsidR="00F40A77">
        <w:tab/>
      </w:r>
      <w:r>
        <w:t>F</w:t>
      </w:r>
      <w:r w:rsidR="00A26FC2">
        <w:t xml:space="preserve">or a UE configured with LTE-NR </w:t>
      </w:r>
      <w:r w:rsidR="000819E1">
        <w:t>dual</w:t>
      </w:r>
      <w:r w:rsidR="00A26FC2">
        <w:t xml:space="preserve"> connectivity, having the only U-plane connection to the core network from the LTE eNB </w:t>
      </w:r>
      <w:r w:rsidR="001705DC">
        <w:t>c</w:t>
      </w:r>
      <w:r w:rsidR="00A26FC2">
        <w:t xml:space="preserve">ould make the </w:t>
      </w:r>
      <w:r w:rsidR="00316E3F">
        <w:t xml:space="preserve">route traversing that </w:t>
      </w:r>
      <w:r w:rsidR="00A26FC2">
        <w:t xml:space="preserve">LTE eNB a </w:t>
      </w:r>
      <w:r w:rsidR="00AD151B">
        <w:t xml:space="preserve">throughput </w:t>
      </w:r>
      <w:r w:rsidR="00A26FC2">
        <w:t>bottleneck</w:t>
      </w:r>
      <w:r w:rsidR="00F40A77">
        <w:t>.</w:t>
      </w:r>
    </w:p>
    <w:p w:rsidR="003E2953" w:rsidRDefault="003E2953" w:rsidP="00DF031C">
      <w:r>
        <w:t>Given this observation, we propose the following.</w:t>
      </w:r>
    </w:p>
    <w:p w:rsidR="003E2953" w:rsidRDefault="003E2953" w:rsidP="003E2953">
      <w:pPr>
        <w:ind w:left="1988" w:hanging="1420"/>
      </w:pPr>
      <w:r w:rsidRPr="00AF1B11">
        <w:rPr>
          <w:b/>
        </w:rPr>
        <w:t xml:space="preserve">Proposal </w:t>
      </w:r>
      <w:r>
        <w:rPr>
          <w:b/>
        </w:rPr>
        <w:t>2</w:t>
      </w:r>
      <w:r>
        <w:t>:</w:t>
      </w:r>
      <w:r>
        <w:tab/>
        <w:t xml:space="preserve">Capture in the TR that, to avoid making the </w:t>
      </w:r>
      <w:r w:rsidR="00316E3F">
        <w:t xml:space="preserve">route traversing the </w:t>
      </w:r>
      <w:r>
        <w:t>LTE eNB a throughput bottleneck, LTE-NR dual connectivity should support a direct U-plane connection to the core network from the NR eNB.</w:t>
      </w:r>
    </w:p>
    <w:p w:rsidR="00CD4C7B" w:rsidRPr="006E13D1" w:rsidRDefault="00B41BC7" w:rsidP="00CD4C7B">
      <w:pPr>
        <w:pStyle w:val="Heading1"/>
      </w:pPr>
      <w:r>
        <w:t>3</w:t>
      </w:r>
      <w:r w:rsidR="00CD4C7B" w:rsidRPr="006E13D1">
        <w:tab/>
      </w:r>
      <w:r>
        <w:t>Conclusion</w:t>
      </w:r>
    </w:p>
    <w:p w:rsidR="00B41BC7" w:rsidRDefault="00132979" w:rsidP="00CD4C7B">
      <w:r>
        <w:t xml:space="preserve">In this contribution we discussed motivation and possible solutions for </w:t>
      </w:r>
      <w:r w:rsidRPr="00F44479">
        <w:t xml:space="preserve">dual connectivity between LTE and </w:t>
      </w:r>
      <w:r w:rsidRPr="00DF031C">
        <w:t>new RAT (NR)</w:t>
      </w:r>
      <w:r>
        <w:t>, and make the following observations:</w:t>
      </w:r>
    </w:p>
    <w:p w:rsidR="00132979" w:rsidRDefault="00132979" w:rsidP="00132979">
      <w:pPr>
        <w:ind w:left="1988" w:hanging="1420"/>
      </w:pPr>
      <w:r w:rsidRPr="00F23751">
        <w:rPr>
          <w:b/>
        </w:rPr>
        <w:lastRenderedPageBreak/>
        <w:t>Observation 1</w:t>
      </w:r>
      <w:r>
        <w:t>:</w:t>
      </w:r>
      <w:r>
        <w:tab/>
        <w:t>In an initial deployment of the new RAT, NR micro cells can be deployed on top of a pre-existing LTE macro-cell layer operating in a licensed band.</w:t>
      </w:r>
    </w:p>
    <w:p w:rsidR="00132979" w:rsidRDefault="00132979" w:rsidP="00132979">
      <w:pPr>
        <w:ind w:left="1988" w:hanging="1420"/>
      </w:pPr>
      <w:r>
        <w:rPr>
          <w:b/>
        </w:rPr>
        <w:t>Observation</w:t>
      </w:r>
      <w:r w:rsidRPr="00AF1B11">
        <w:rPr>
          <w:b/>
        </w:rPr>
        <w:t xml:space="preserve"> </w:t>
      </w:r>
      <w:r>
        <w:rPr>
          <w:b/>
        </w:rPr>
        <w:t>2</w:t>
      </w:r>
      <w:r>
        <w:t>:</w:t>
      </w:r>
      <w:r>
        <w:tab/>
        <w:t>For a UE configured with LTE-NR dual connectivity, having the only U-plane connection to the core network from the LTE eNB could make the route traversing that LTE eNB a throughput bottleneck.</w:t>
      </w:r>
    </w:p>
    <w:p w:rsidR="00132979" w:rsidRDefault="00132979" w:rsidP="00CD4C7B">
      <w:r>
        <w:t>Based on these, we propose the following:</w:t>
      </w:r>
    </w:p>
    <w:p w:rsidR="00132979" w:rsidRDefault="00132979" w:rsidP="00132979">
      <w:pPr>
        <w:ind w:left="1988" w:hanging="1420"/>
      </w:pPr>
      <w:r w:rsidRPr="00AF1B11">
        <w:rPr>
          <w:b/>
        </w:rPr>
        <w:t>Proposal 1</w:t>
      </w:r>
      <w:r>
        <w:t>:</w:t>
      </w:r>
      <w:r>
        <w:tab/>
        <w:t xml:space="preserve">Capture in the TR that dual connectivity between </w:t>
      </w:r>
      <w:r w:rsidRPr="00AF1B11">
        <w:t xml:space="preserve">LTE and the </w:t>
      </w:r>
      <w:r>
        <w:t>n</w:t>
      </w:r>
      <w:r w:rsidRPr="00AF1B11">
        <w:t>ew RAT</w:t>
      </w:r>
      <w:r>
        <w:t xml:space="preserve"> (NR), with the UE’s C-plane connection to an LTE macro cell, </w:t>
      </w:r>
      <w:r w:rsidRPr="00AF1B11">
        <w:t xml:space="preserve">can provide connection stability to initial </w:t>
      </w:r>
      <w:r>
        <w:t>NR</w:t>
      </w:r>
      <w:r w:rsidRPr="00AF1B11">
        <w:t xml:space="preserve"> deployment as </w:t>
      </w:r>
      <w:r>
        <w:t>micro</w:t>
      </w:r>
      <w:r w:rsidRPr="00AF1B11">
        <w:t xml:space="preserve"> cells under pre-existing LTE coverage</w:t>
      </w:r>
      <w:r>
        <w:t>.</w:t>
      </w:r>
    </w:p>
    <w:p w:rsidR="00132979" w:rsidRDefault="00132979" w:rsidP="00132979">
      <w:pPr>
        <w:ind w:left="1988" w:hanging="1420"/>
      </w:pPr>
      <w:r w:rsidRPr="00AF1B11">
        <w:rPr>
          <w:b/>
        </w:rPr>
        <w:t xml:space="preserve">Proposal </w:t>
      </w:r>
      <w:r>
        <w:rPr>
          <w:b/>
        </w:rPr>
        <w:t>2</w:t>
      </w:r>
      <w:r>
        <w:t>:</w:t>
      </w:r>
      <w:r>
        <w:tab/>
        <w:t>Capture in the TR that, to avoid making the route traversing the LTE eNB a throughput bottleneck, LTE-NR dual connectivity should support a direct U-plane connection to the core network from the NR eNB.</w:t>
      </w:r>
    </w:p>
    <w:p w:rsidR="00132979" w:rsidRDefault="00132979" w:rsidP="00CD4C7B">
      <w:r>
        <w:t>A possible text proposal for capturing these is provided below in Appendix.</w:t>
      </w:r>
    </w:p>
    <w:p w:rsidR="00CD4C7B" w:rsidRPr="006E13D1" w:rsidRDefault="00CD4C7B" w:rsidP="00CD4C7B">
      <w:pPr>
        <w:pStyle w:val="Heading1"/>
      </w:pPr>
      <w:r w:rsidRPr="006E13D1">
        <w:t>References</w:t>
      </w:r>
    </w:p>
    <w:bookmarkStart w:id="3" w:name="_Ref75086397"/>
    <w:p w:rsidR="004B5DC2" w:rsidRPr="006E13D1" w:rsidRDefault="004B5DC2" w:rsidP="004B5DC2">
      <w:pPr>
        <w:numPr>
          <w:ilvl w:val="0"/>
          <w:numId w:val="4"/>
        </w:numPr>
        <w:overflowPunct w:val="0"/>
        <w:autoSpaceDE w:val="0"/>
        <w:autoSpaceDN w:val="0"/>
        <w:adjustRightInd w:val="0"/>
        <w:textAlignment w:val="baseline"/>
      </w:pPr>
      <w:r>
        <w:fldChar w:fldCharType="begin"/>
      </w:r>
      <w:r>
        <w:instrText xml:space="preserve"> HYPERLINK "http://www.3gpp.org/ftp/tsg_ran/TSG_RAN/TSGR_71/Docs/RP-160671.zip" </w:instrText>
      </w:r>
      <w:r>
        <w:fldChar w:fldCharType="separate"/>
      </w:r>
      <w:r w:rsidRPr="004B5DC2">
        <w:rPr>
          <w:rStyle w:val="Hyperlink"/>
        </w:rPr>
        <w:t>RP-160671</w:t>
      </w:r>
      <w:r>
        <w:fldChar w:fldCharType="end"/>
      </w:r>
      <w:r w:rsidRPr="006E13D1">
        <w:t xml:space="preserve">, </w:t>
      </w:r>
      <w:r w:rsidRPr="004B5DC2">
        <w:rPr>
          <w:i/>
          <w:iCs/>
        </w:rPr>
        <w:t>New SID Proposal: Study on New Radio Access Technology</w:t>
      </w:r>
      <w:r w:rsidRPr="006E13D1">
        <w:t xml:space="preserve">, </w:t>
      </w:r>
      <w:r w:rsidRPr="004B5DC2">
        <w:t>NTT DOCOMO</w:t>
      </w:r>
    </w:p>
    <w:p w:rsidR="004B5DC2" w:rsidRPr="006E13D1" w:rsidRDefault="00F12BBA" w:rsidP="004B5DC2">
      <w:pPr>
        <w:numPr>
          <w:ilvl w:val="0"/>
          <w:numId w:val="4"/>
        </w:numPr>
        <w:overflowPunct w:val="0"/>
        <w:autoSpaceDE w:val="0"/>
        <w:autoSpaceDN w:val="0"/>
        <w:adjustRightInd w:val="0"/>
        <w:textAlignment w:val="baseline"/>
      </w:pPr>
      <w:hyperlink r:id="rId11" w:history="1">
        <w:r w:rsidR="004B5DC2" w:rsidRPr="004B5DC2">
          <w:rPr>
            <w:rStyle w:val="Hyperlink"/>
          </w:rPr>
          <w:t>3GPP TR 38.913</w:t>
        </w:r>
      </w:hyperlink>
      <w:r w:rsidR="004B5DC2" w:rsidRPr="006E13D1">
        <w:t xml:space="preserve">, </w:t>
      </w:r>
      <w:r w:rsidR="004B5DC2" w:rsidRPr="004B5DC2">
        <w:rPr>
          <w:i/>
          <w:iCs/>
        </w:rPr>
        <w:t>Study on Scenarios and Requirements for Next Generation Access Technologies</w:t>
      </w:r>
    </w:p>
    <w:p w:rsidR="00840B9C" w:rsidRPr="006E13D1" w:rsidRDefault="00F12BBA" w:rsidP="00840B9C">
      <w:pPr>
        <w:numPr>
          <w:ilvl w:val="0"/>
          <w:numId w:val="4"/>
        </w:numPr>
        <w:overflowPunct w:val="0"/>
        <w:autoSpaceDE w:val="0"/>
        <w:autoSpaceDN w:val="0"/>
        <w:adjustRightInd w:val="0"/>
        <w:textAlignment w:val="baseline"/>
      </w:pPr>
      <w:hyperlink r:id="rId12" w:history="1">
        <w:r w:rsidR="00840B9C" w:rsidRPr="004B5DC2">
          <w:rPr>
            <w:rStyle w:val="Hyperlink"/>
          </w:rPr>
          <w:t>3GPP TR 3</w:t>
        </w:r>
        <w:r w:rsidR="00840B9C">
          <w:rPr>
            <w:rStyle w:val="Hyperlink"/>
          </w:rPr>
          <w:t>6</w:t>
        </w:r>
        <w:r w:rsidR="00840B9C" w:rsidRPr="004B5DC2">
          <w:rPr>
            <w:rStyle w:val="Hyperlink"/>
          </w:rPr>
          <w:t>.</w:t>
        </w:r>
        <w:r w:rsidR="00840B9C">
          <w:rPr>
            <w:rStyle w:val="Hyperlink"/>
          </w:rPr>
          <w:t>842</w:t>
        </w:r>
      </w:hyperlink>
      <w:r w:rsidR="00840B9C" w:rsidRPr="006E13D1">
        <w:t xml:space="preserve">, </w:t>
      </w:r>
      <w:r w:rsidR="00840B9C" w:rsidRPr="00840B9C">
        <w:rPr>
          <w:i/>
          <w:iCs/>
        </w:rPr>
        <w:t>Study on Small Cell enhancements for E-UTRA and E-UTRAN; Higher layer aspects</w:t>
      </w:r>
    </w:p>
    <w:bookmarkEnd w:id="3"/>
    <w:p w:rsidR="009846F7" w:rsidRDefault="009846F7">
      <w:pPr>
        <w:spacing w:after="0"/>
        <w:rPr>
          <w:rFonts w:ascii="Arial" w:hAnsi="Arial"/>
          <w:sz w:val="36"/>
        </w:rPr>
      </w:pPr>
      <w:r>
        <w:br w:type="page"/>
      </w:r>
    </w:p>
    <w:p w:rsidR="00132979" w:rsidRDefault="00132979" w:rsidP="00132979">
      <w:pPr>
        <w:pStyle w:val="Heading1"/>
      </w:pPr>
      <w:r>
        <w:lastRenderedPageBreak/>
        <w:t xml:space="preserve">Appendix: Text Proposal </w:t>
      </w:r>
    </w:p>
    <w:p w:rsidR="00132979" w:rsidRPr="008D6506" w:rsidRDefault="00132979" w:rsidP="0013297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spacing w:before="240" w:after="240"/>
        <w:jc w:val="center"/>
        <w:textAlignment w:val="baseline"/>
        <w:rPr>
          <w:i/>
          <w:lang w:eastAsia="ja-JP"/>
        </w:rPr>
      </w:pPr>
      <w:r w:rsidRPr="008D6506">
        <w:rPr>
          <w:rFonts w:hint="eastAsia"/>
          <w:i/>
          <w:lang w:eastAsia="ja-JP"/>
        </w:rPr>
        <w:t>Beginning of Text Proposal</w:t>
      </w:r>
    </w:p>
    <w:p w:rsidR="00132979" w:rsidRPr="00235394" w:rsidRDefault="00132979" w:rsidP="00132979">
      <w:pPr>
        <w:pStyle w:val="Heading1"/>
      </w:pPr>
      <w:bookmarkStart w:id="4" w:name="_Toc446966095"/>
      <w:bookmarkStart w:id="5" w:name="_Toc423354711"/>
      <w:r>
        <w:t>6</w:t>
      </w:r>
      <w:r w:rsidRPr="00235394">
        <w:tab/>
      </w:r>
      <w:bookmarkEnd w:id="4"/>
      <w:r w:rsidRPr="00D51B0F">
        <w:t>Radio access network procedures for New RAT</w:t>
      </w:r>
    </w:p>
    <w:p w:rsidR="00132979" w:rsidRPr="006E13D1" w:rsidRDefault="00132979" w:rsidP="00301C63">
      <w:pPr>
        <w:pStyle w:val="Heading2"/>
      </w:pPr>
      <w:r>
        <w:t>6.1</w:t>
      </w:r>
      <w:r w:rsidRPr="00956355">
        <w:tab/>
      </w:r>
      <w:bookmarkEnd w:id="5"/>
      <w:r w:rsidRPr="00D51B0F">
        <w:t>Tight interworking between new RAT and LTE</w:t>
      </w:r>
    </w:p>
    <w:p w:rsidR="00132979" w:rsidRDefault="00132979" w:rsidP="00132979">
      <w:pPr>
        <w:pStyle w:val="Heading3"/>
        <w:rPr>
          <w:rFonts w:eastAsia="SimSun"/>
        </w:rPr>
      </w:pPr>
      <w:r>
        <w:rPr>
          <w:rFonts w:hint="eastAsia"/>
          <w:lang w:eastAsia="ja-JP"/>
        </w:rPr>
        <w:t>6</w:t>
      </w:r>
      <w:r>
        <w:t>.</w:t>
      </w:r>
      <w:r>
        <w:rPr>
          <w:rFonts w:hint="eastAsia"/>
          <w:lang w:eastAsia="ja-JP"/>
        </w:rPr>
        <w:t>1</w:t>
      </w:r>
      <w:r>
        <w:rPr>
          <w:lang w:eastAsia="ja-JP"/>
        </w:rPr>
        <w:t>.x2</w:t>
      </w:r>
      <w:r w:rsidRPr="005A5770">
        <w:tab/>
      </w:r>
      <w:r>
        <w:rPr>
          <w:rFonts w:eastAsia="SimSun"/>
        </w:rPr>
        <w:t>NR anchored in LTE</w:t>
      </w:r>
    </w:p>
    <w:p w:rsidR="00B956D2" w:rsidRPr="00013A9A" w:rsidRDefault="00B956D2" w:rsidP="00301C63">
      <w:pPr>
        <w:pStyle w:val="Heading4"/>
        <w:rPr>
          <w:lang w:eastAsia="ja-JP"/>
        </w:rPr>
      </w:pPr>
      <w:r>
        <w:rPr>
          <w:rFonts w:hint="eastAsia"/>
          <w:lang w:eastAsia="ja-JP"/>
        </w:rPr>
        <w:t>6</w:t>
      </w:r>
      <w:r>
        <w:t>.</w:t>
      </w:r>
      <w:r>
        <w:rPr>
          <w:rFonts w:hint="eastAsia"/>
          <w:lang w:eastAsia="ja-JP"/>
        </w:rPr>
        <w:t>1</w:t>
      </w:r>
      <w:r>
        <w:rPr>
          <w:lang w:eastAsia="ja-JP"/>
        </w:rPr>
        <w:t>.x2.x1</w:t>
      </w:r>
      <w:r w:rsidRPr="005A5770">
        <w:tab/>
      </w:r>
      <w:r>
        <w:rPr>
          <w:rFonts w:eastAsia="SimSun"/>
        </w:rPr>
        <w:t>Solutions</w:t>
      </w:r>
    </w:p>
    <w:p w:rsidR="00190455" w:rsidRDefault="00190455" w:rsidP="00301C63">
      <w:r>
        <w:t xml:space="preserve">Dual connectivity between </w:t>
      </w:r>
      <w:r w:rsidRPr="00AF1B11">
        <w:t xml:space="preserve">LTE and the </w:t>
      </w:r>
      <w:r>
        <w:t>n</w:t>
      </w:r>
      <w:r w:rsidRPr="00AF1B11">
        <w:t>ew RAT</w:t>
      </w:r>
      <w:r>
        <w:t xml:space="preserve"> (NR), with the UE’s C-plane connection to an LTE macro cell, </w:t>
      </w:r>
      <w:r w:rsidRPr="00AF1B11">
        <w:t xml:space="preserve">can provide connection stability to initial </w:t>
      </w:r>
      <w:r>
        <w:t>NR</w:t>
      </w:r>
      <w:r w:rsidRPr="00AF1B11">
        <w:t xml:space="preserve"> deployment as </w:t>
      </w:r>
      <w:r>
        <w:t>micro</w:t>
      </w:r>
      <w:r w:rsidRPr="00AF1B11">
        <w:t xml:space="preserve"> cells under pre-existing LTE coverage</w:t>
      </w:r>
      <w:r>
        <w:t>.</w:t>
      </w:r>
    </w:p>
    <w:p w:rsidR="00301C63" w:rsidRDefault="00301C63" w:rsidP="00301C63">
      <w:r>
        <w:t>The following high-level U-plane options considered in the pre-study [TR 36.842] for LTE dual connectivity can equally be considered in the context of LTE-NR dual connectivity (with the obvious terminology adaptations):</w:t>
      </w:r>
    </w:p>
    <w:p w:rsidR="00301C63" w:rsidRPr="00536FEC" w:rsidRDefault="00301C63" w:rsidP="00301C63">
      <w:pPr>
        <w:pStyle w:val="B1"/>
        <w:rPr>
          <w:i/>
        </w:rPr>
      </w:pPr>
      <w:r w:rsidRPr="00536FEC">
        <w:rPr>
          <w:i/>
        </w:rPr>
        <w:t>-</w:t>
      </w:r>
      <w:r w:rsidRPr="00536FEC">
        <w:rPr>
          <w:i/>
        </w:rPr>
        <w:tab/>
        <w:t>Option 1: S1-U also terminates in SeNB;</w:t>
      </w:r>
    </w:p>
    <w:p w:rsidR="00301C63" w:rsidRPr="00536FEC" w:rsidRDefault="00301C63" w:rsidP="00301C63">
      <w:pPr>
        <w:pStyle w:val="B1"/>
        <w:rPr>
          <w:i/>
        </w:rPr>
      </w:pPr>
      <w:r w:rsidRPr="00536FEC">
        <w:rPr>
          <w:i/>
        </w:rPr>
        <w:t>-</w:t>
      </w:r>
      <w:r w:rsidRPr="00536FEC">
        <w:rPr>
          <w:i/>
        </w:rPr>
        <w:tab/>
        <w:t>Option 2: S1-U terminates in MeNB, no bearer split in RAN;</w:t>
      </w:r>
    </w:p>
    <w:p w:rsidR="00301C63" w:rsidRPr="00536FEC" w:rsidRDefault="00301C63" w:rsidP="00301C63">
      <w:pPr>
        <w:pStyle w:val="B1"/>
        <w:rPr>
          <w:i/>
        </w:rPr>
      </w:pPr>
      <w:r w:rsidRPr="00536FEC">
        <w:rPr>
          <w:i/>
        </w:rPr>
        <w:t>-</w:t>
      </w:r>
      <w:r w:rsidRPr="00536FEC">
        <w:rPr>
          <w:i/>
        </w:rPr>
        <w:tab/>
        <w:t>Option 3: S1-U terminates in MeNB, bearer split in RAN.</w:t>
      </w:r>
    </w:p>
    <w:p w:rsidR="00301C63" w:rsidRDefault="00301C63" w:rsidP="00301C63">
      <w:r>
        <w:t>This already leads to one immediate observation. If, for a UE configured with LTE-NR dual connectivity, the only U-plane connection to the core network is from the LTE eNB, the very high bit rates provided by the new RAT will have to be accommodated by the route traversing that eNB. This could easily create a bottleneck because the LTE eNB and possibly its backhaul connection was never dimensioned to handle the kind of bit rates supported by the new RAT. Bringing the LTE eNB up to speed with such bit rates would hardly be achieved with a mere software upgrade.</w:t>
      </w:r>
    </w:p>
    <w:p w:rsidR="00B956D2" w:rsidRDefault="00301C63" w:rsidP="00301C63">
      <w:r>
        <w:t>For this reason, LTE-NR dual connectivity should support a direct U-plane connection to the core network from the NR eNB.</w:t>
      </w:r>
    </w:p>
    <w:p w:rsidR="00132979" w:rsidRPr="008D6506" w:rsidRDefault="00132979" w:rsidP="0013297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spacing w:before="240" w:after="240"/>
        <w:jc w:val="center"/>
        <w:textAlignment w:val="baseline"/>
        <w:rPr>
          <w:i/>
          <w:lang w:eastAsia="ja-JP"/>
        </w:rPr>
      </w:pPr>
      <w:r>
        <w:rPr>
          <w:i/>
          <w:lang w:eastAsia="ja-JP"/>
        </w:rPr>
        <w:t>End</w:t>
      </w:r>
      <w:r w:rsidRPr="008D6506">
        <w:rPr>
          <w:rFonts w:hint="eastAsia"/>
          <w:i/>
          <w:lang w:eastAsia="ja-JP"/>
        </w:rPr>
        <w:t xml:space="preserve"> of Text Proposal</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BBA" w:rsidRDefault="00F12BBA">
      <w:r>
        <w:separator/>
      </w:r>
    </w:p>
  </w:endnote>
  <w:endnote w:type="continuationSeparator" w:id="0">
    <w:p w:rsidR="00F12BBA" w:rsidRDefault="00F1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BBA" w:rsidRDefault="00F12BBA">
      <w:r>
        <w:separator/>
      </w:r>
    </w:p>
  </w:footnote>
  <w:footnote w:type="continuationSeparator" w:id="0">
    <w:p w:rsidR="00F12BBA" w:rsidRDefault="00F12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removePersonalInformation/>
  <w:removeDateAndTime/>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19E1"/>
    <w:rsid w:val="000B7BCF"/>
    <w:rsid w:val="000D58AB"/>
    <w:rsid w:val="00132979"/>
    <w:rsid w:val="00140F1B"/>
    <w:rsid w:val="0015592A"/>
    <w:rsid w:val="001705DC"/>
    <w:rsid w:val="001741A0"/>
    <w:rsid w:val="00190455"/>
    <w:rsid w:val="00194CD0"/>
    <w:rsid w:val="001A40DB"/>
    <w:rsid w:val="001B49C9"/>
    <w:rsid w:val="001F168B"/>
    <w:rsid w:val="001F7831"/>
    <w:rsid w:val="00204045"/>
    <w:rsid w:val="0022606D"/>
    <w:rsid w:val="0022727D"/>
    <w:rsid w:val="00237A9B"/>
    <w:rsid w:val="00246ADE"/>
    <w:rsid w:val="002747EC"/>
    <w:rsid w:val="002855BF"/>
    <w:rsid w:val="00286750"/>
    <w:rsid w:val="00294C67"/>
    <w:rsid w:val="002B08F5"/>
    <w:rsid w:val="002F0D22"/>
    <w:rsid w:val="00301C63"/>
    <w:rsid w:val="00316E3F"/>
    <w:rsid w:val="003172DC"/>
    <w:rsid w:val="003253F2"/>
    <w:rsid w:val="00326069"/>
    <w:rsid w:val="0035462D"/>
    <w:rsid w:val="003C4E37"/>
    <w:rsid w:val="003E16BE"/>
    <w:rsid w:val="003E2953"/>
    <w:rsid w:val="003F0E3C"/>
    <w:rsid w:val="00401855"/>
    <w:rsid w:val="0043719A"/>
    <w:rsid w:val="004507CF"/>
    <w:rsid w:val="00473438"/>
    <w:rsid w:val="00477455"/>
    <w:rsid w:val="004A2EE9"/>
    <w:rsid w:val="004B5DC2"/>
    <w:rsid w:val="004C1D83"/>
    <w:rsid w:val="004D3578"/>
    <w:rsid w:val="004D380D"/>
    <w:rsid w:val="004E213A"/>
    <w:rsid w:val="00503171"/>
    <w:rsid w:val="005233B9"/>
    <w:rsid w:val="00534DA0"/>
    <w:rsid w:val="00536FEC"/>
    <w:rsid w:val="00543E6C"/>
    <w:rsid w:val="00565087"/>
    <w:rsid w:val="0056573F"/>
    <w:rsid w:val="005A2B51"/>
    <w:rsid w:val="005A700F"/>
    <w:rsid w:val="00611566"/>
    <w:rsid w:val="00655F43"/>
    <w:rsid w:val="00656910"/>
    <w:rsid w:val="00675D99"/>
    <w:rsid w:val="006D1E24"/>
    <w:rsid w:val="006F6A2C"/>
    <w:rsid w:val="00725AC6"/>
    <w:rsid w:val="00734A5B"/>
    <w:rsid w:val="007441AA"/>
    <w:rsid w:val="00744CCE"/>
    <w:rsid w:val="00744E76"/>
    <w:rsid w:val="00757D40"/>
    <w:rsid w:val="00777DDD"/>
    <w:rsid w:val="00781F0F"/>
    <w:rsid w:val="0078727C"/>
    <w:rsid w:val="007B0BFE"/>
    <w:rsid w:val="007B18D8"/>
    <w:rsid w:val="007B376D"/>
    <w:rsid w:val="007C095F"/>
    <w:rsid w:val="008028A4"/>
    <w:rsid w:val="00823655"/>
    <w:rsid w:val="00840B9C"/>
    <w:rsid w:val="008768CA"/>
    <w:rsid w:val="00880559"/>
    <w:rsid w:val="00883340"/>
    <w:rsid w:val="009018CA"/>
    <w:rsid w:val="0090271F"/>
    <w:rsid w:val="00933F14"/>
    <w:rsid w:val="00942EC2"/>
    <w:rsid w:val="00946F40"/>
    <w:rsid w:val="00961B32"/>
    <w:rsid w:val="00974BB0"/>
    <w:rsid w:val="009846F7"/>
    <w:rsid w:val="009B07CD"/>
    <w:rsid w:val="009F7BE1"/>
    <w:rsid w:val="00A1058E"/>
    <w:rsid w:val="00A10F02"/>
    <w:rsid w:val="00A26FC2"/>
    <w:rsid w:val="00A35F53"/>
    <w:rsid w:val="00A51859"/>
    <w:rsid w:val="00A53724"/>
    <w:rsid w:val="00A647EC"/>
    <w:rsid w:val="00A66AAB"/>
    <w:rsid w:val="00A66DC2"/>
    <w:rsid w:val="00A82346"/>
    <w:rsid w:val="00A9671C"/>
    <w:rsid w:val="00AB36F2"/>
    <w:rsid w:val="00AD151B"/>
    <w:rsid w:val="00AF1B11"/>
    <w:rsid w:val="00AF1FA0"/>
    <w:rsid w:val="00B15449"/>
    <w:rsid w:val="00B41BC7"/>
    <w:rsid w:val="00B7588A"/>
    <w:rsid w:val="00B956D2"/>
    <w:rsid w:val="00BB2B79"/>
    <w:rsid w:val="00BC7B88"/>
    <w:rsid w:val="00C12B51"/>
    <w:rsid w:val="00C33079"/>
    <w:rsid w:val="00C83A13"/>
    <w:rsid w:val="00CA3D0C"/>
    <w:rsid w:val="00CD4C7B"/>
    <w:rsid w:val="00CD76CD"/>
    <w:rsid w:val="00CF3020"/>
    <w:rsid w:val="00D1707B"/>
    <w:rsid w:val="00D22140"/>
    <w:rsid w:val="00D56396"/>
    <w:rsid w:val="00D650B8"/>
    <w:rsid w:val="00D738D6"/>
    <w:rsid w:val="00D80795"/>
    <w:rsid w:val="00D87E00"/>
    <w:rsid w:val="00D9134D"/>
    <w:rsid w:val="00D949F8"/>
    <w:rsid w:val="00D96D11"/>
    <w:rsid w:val="00DA73A6"/>
    <w:rsid w:val="00DA7A03"/>
    <w:rsid w:val="00DB1818"/>
    <w:rsid w:val="00DB6D95"/>
    <w:rsid w:val="00DC309B"/>
    <w:rsid w:val="00DC4DA2"/>
    <w:rsid w:val="00DE735E"/>
    <w:rsid w:val="00DF031C"/>
    <w:rsid w:val="00DF6D4E"/>
    <w:rsid w:val="00E62835"/>
    <w:rsid w:val="00E67D45"/>
    <w:rsid w:val="00E77645"/>
    <w:rsid w:val="00E87B47"/>
    <w:rsid w:val="00EC4A25"/>
    <w:rsid w:val="00EF0913"/>
    <w:rsid w:val="00F025A2"/>
    <w:rsid w:val="00F12BBA"/>
    <w:rsid w:val="00F2026E"/>
    <w:rsid w:val="00F2210A"/>
    <w:rsid w:val="00F23751"/>
    <w:rsid w:val="00F37743"/>
    <w:rsid w:val="00F40A77"/>
    <w:rsid w:val="00F44479"/>
    <w:rsid w:val="00F54A3D"/>
    <w:rsid w:val="00F653B8"/>
    <w:rsid w:val="00F76F8F"/>
    <w:rsid w:val="00FA1266"/>
    <w:rsid w:val="00FB480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paragraph" w:styleId="ListParagraph">
    <w:name w:val="List Paragraph"/>
    <w:basedOn w:val="Normal"/>
    <w:uiPriority w:val="34"/>
    <w:qFormat/>
    <w:rsid w:val="00725AC6"/>
    <w:pPr>
      <w:overflowPunct w:val="0"/>
      <w:autoSpaceDE w:val="0"/>
      <w:autoSpaceDN w:val="0"/>
      <w:adjustRightInd w:val="0"/>
      <w:ind w:left="720"/>
      <w:contextualSpacing/>
      <w:textAlignment w:val="baseline"/>
    </w:pPr>
    <w:rPr>
      <w:rFonts w:eastAsia="MS Mincho"/>
    </w:rPr>
  </w:style>
  <w:style w:type="character" w:styleId="Hyperlink">
    <w:name w:val="Hyperlink"/>
    <w:rsid w:val="0056573F"/>
    <w:rPr>
      <w:color w:val="0000FF"/>
      <w:u w:val="single"/>
    </w:rPr>
  </w:style>
  <w:style w:type="character" w:customStyle="1" w:styleId="B1Zchn">
    <w:name w:val="B1 Zchn"/>
    <w:link w:val="B1"/>
    <w:rsid w:val="00536FEC"/>
    <w:rPr>
      <w:lang w:val="en-GB"/>
    </w:rPr>
  </w:style>
  <w:style w:type="paragraph" w:styleId="BalloonText">
    <w:name w:val="Balloon Text"/>
    <w:basedOn w:val="Normal"/>
    <w:link w:val="BalloonTextChar"/>
    <w:rsid w:val="003E2953"/>
    <w:pPr>
      <w:spacing w:after="0"/>
    </w:pPr>
    <w:rPr>
      <w:rFonts w:ascii="Segoe UI" w:hAnsi="Segoe UI" w:cs="Segoe UI"/>
      <w:sz w:val="18"/>
      <w:szCs w:val="18"/>
    </w:rPr>
  </w:style>
  <w:style w:type="character" w:customStyle="1" w:styleId="BalloonTextChar">
    <w:name w:val="Balloon Text Char"/>
    <w:link w:val="BalloonText"/>
    <w:rsid w:val="003E2953"/>
    <w:rPr>
      <w:rFonts w:ascii="Segoe UI" w:hAnsi="Segoe UI" w:cs="Segoe UI"/>
      <w:sz w:val="18"/>
      <w:szCs w:val="18"/>
      <w:lang w:val="en-GB"/>
    </w:rPr>
  </w:style>
  <w:style w:type="character" w:styleId="CommentReference">
    <w:name w:val="annotation reference"/>
    <w:rsid w:val="00132979"/>
    <w:rPr>
      <w:sz w:val="16"/>
      <w:szCs w:val="16"/>
    </w:rPr>
  </w:style>
  <w:style w:type="paragraph" w:styleId="CommentText">
    <w:name w:val="annotation text"/>
    <w:basedOn w:val="Normal"/>
    <w:link w:val="CommentTextChar"/>
    <w:rsid w:val="00132979"/>
    <w:rPr>
      <w:rFonts w:eastAsia="MS Mincho"/>
    </w:rPr>
  </w:style>
  <w:style w:type="character" w:customStyle="1" w:styleId="CommentTextChar">
    <w:name w:val="Comment Text Char"/>
    <w:link w:val="CommentText"/>
    <w:rsid w:val="00132979"/>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DynaReport/36842.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DynaReport/38913.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Props1.xml><?xml version="1.0" encoding="utf-8"?>
<ds:datastoreItem xmlns:ds="http://schemas.openxmlformats.org/officeDocument/2006/customXml" ds:itemID="{A025DA76-6FF6-49F9-85DC-8A0EF3DDA830}">
  <ds:schemaRefs>
    <ds:schemaRef ds:uri="http://schemas.microsoft.com/office/2006/metadata/longProperties"/>
  </ds:schemaRefs>
</ds:datastoreItem>
</file>

<file path=customXml/itemProps2.xml><?xml version="1.0" encoding="utf-8"?>
<ds:datastoreItem xmlns:ds="http://schemas.openxmlformats.org/officeDocument/2006/customXml" ds:itemID="{91C90677-202D-4740-AB62-593E47E01ABC}">
  <ds:schemaRefs>
    <ds:schemaRef ds:uri="http://schemas.microsoft.com/sharepoint/v3/contenttype/forms"/>
  </ds:schemaRefs>
</ds:datastoreItem>
</file>

<file path=customXml/itemProps3.xml><?xml version="1.0" encoding="utf-8"?>
<ds:datastoreItem xmlns:ds="http://schemas.openxmlformats.org/officeDocument/2006/customXml" ds:itemID="{3D06BABD-C076-40EE-BA2C-EF2BF1DD5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661A44-3A91-4D46-B8D0-1692EA00443C}">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Base/>
  <HLinks>
    <vt:vector size="18" baseType="variant">
      <vt:variant>
        <vt:i4>4259906</vt:i4>
      </vt:variant>
      <vt:variant>
        <vt:i4>6</vt:i4>
      </vt:variant>
      <vt:variant>
        <vt:i4>0</vt:i4>
      </vt:variant>
      <vt:variant>
        <vt:i4>5</vt:i4>
      </vt:variant>
      <vt:variant>
        <vt:lpwstr>http://www.3gpp.org/DynaReport/36842.htm</vt:lpwstr>
      </vt:variant>
      <vt:variant>
        <vt:lpwstr/>
      </vt:variant>
      <vt:variant>
        <vt:i4>4259913</vt:i4>
      </vt:variant>
      <vt:variant>
        <vt:i4>3</vt:i4>
      </vt:variant>
      <vt:variant>
        <vt:i4>0</vt:i4>
      </vt:variant>
      <vt:variant>
        <vt:i4>5</vt:i4>
      </vt:variant>
      <vt:variant>
        <vt:lpwstr>http://www.3gpp.org/DynaReport/38913.htm</vt:lpwstr>
      </vt:variant>
      <vt:variant>
        <vt:lpwstr/>
      </vt:variant>
      <vt:variant>
        <vt:i4>2162701</vt:i4>
      </vt:variant>
      <vt:variant>
        <vt:i4>0</vt:i4>
      </vt:variant>
      <vt:variant>
        <vt:i4>0</vt:i4>
      </vt:variant>
      <vt:variant>
        <vt:i4>5</vt:i4>
      </vt:variant>
      <vt:variant>
        <vt:lpwstr>http://www.3gpp.org/ftp/tsg_ran/TSG_RAN/TSGR_71/Docs/RP-160671.zip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2016-03-31T23:22:00Z</dcterms:created>
  <dcterms:modified xsi:type="dcterms:W3CDTF">2016-04-01T08:57:00Z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